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50" w:rsidRPr="00617F50" w:rsidRDefault="00617F50" w:rsidP="00617F50">
      <w:pPr>
        <w:jc w:val="center"/>
        <w:rPr>
          <w:rFonts w:ascii="Trebuchet MS" w:hAnsi="Trebuchet MS"/>
          <w:b/>
          <w:color w:val="464646"/>
          <w:sz w:val="24"/>
          <w:szCs w:val="20"/>
          <w:shd w:val="clear" w:color="auto" w:fill="FFFFFF"/>
        </w:rPr>
      </w:pPr>
      <w:r w:rsidRPr="00617F50">
        <w:rPr>
          <w:rFonts w:ascii="Trebuchet MS" w:hAnsi="Trebuchet MS"/>
          <w:b/>
          <w:color w:val="464646"/>
          <w:sz w:val="24"/>
          <w:szCs w:val="20"/>
          <w:shd w:val="clear" w:color="auto" w:fill="FFFFFF"/>
        </w:rPr>
        <w:t>Νόμοι για Κοινωνική Πρόνοια - Υγεία</w:t>
      </w:r>
    </w:p>
    <w:p w:rsidR="00576FD2" w:rsidRPr="00617F50" w:rsidRDefault="0092497D" w:rsidP="00617F50">
      <w:pPr>
        <w:pStyle w:val="a3"/>
        <w:numPr>
          <w:ilvl w:val="0"/>
          <w:numId w:val="2"/>
        </w:numPr>
        <w:rPr>
          <w:rFonts w:ascii="Trebuchet MS" w:hAnsi="Trebuchet MS"/>
          <w:color w:val="464646"/>
          <w:sz w:val="20"/>
          <w:szCs w:val="20"/>
          <w:shd w:val="clear" w:color="auto" w:fill="FFFFFF"/>
        </w:rPr>
      </w:pPr>
      <w:hyperlink r:id="rId5" w:history="1">
        <w:r w:rsidR="00617F50" w:rsidRPr="00617F50">
          <w:rPr>
            <w:rStyle w:val="-"/>
            <w:rFonts w:ascii="Trebuchet MS" w:hAnsi="Trebuchet MS"/>
            <w:color w:val="33CCFF"/>
            <w:sz w:val="20"/>
            <w:szCs w:val="20"/>
            <w:shd w:val="clear" w:color="auto" w:fill="FFFFFF"/>
          </w:rPr>
          <w:t xml:space="preserve">Υπουργική Απόφαση με </w:t>
        </w:r>
        <w:proofErr w:type="spellStart"/>
        <w:r w:rsidR="00617F50" w:rsidRPr="00617F50">
          <w:rPr>
            <w:rStyle w:val="-"/>
            <w:rFonts w:ascii="Trebuchet MS" w:hAnsi="Trebuchet MS"/>
            <w:color w:val="33CCFF"/>
            <w:sz w:val="20"/>
            <w:szCs w:val="20"/>
            <w:shd w:val="clear" w:color="auto" w:fill="FFFFFF"/>
          </w:rPr>
          <w:t>αριθμ</w:t>
        </w:r>
        <w:proofErr w:type="spellEnd"/>
        <w:r w:rsidR="00617F50" w:rsidRPr="00617F50">
          <w:rPr>
            <w:rStyle w:val="-"/>
            <w:rFonts w:ascii="Trebuchet MS" w:hAnsi="Trebuchet MS"/>
            <w:color w:val="33CCFF"/>
            <w:sz w:val="20"/>
            <w:szCs w:val="20"/>
            <w:shd w:val="clear" w:color="auto" w:fill="FFFFFF"/>
          </w:rPr>
          <w:t>. Υ4α/ΓΠ/οικ.48985 7315 (ΦΕΚ Τ. Β’ 1465/05.06.2014)</w:t>
        </w:r>
      </w:hyperlink>
      <w:r w:rsidR="00617F50" w:rsidRPr="00617F50">
        <w:rPr>
          <w:rFonts w:ascii="Trebuchet MS" w:hAnsi="Trebuchet MS"/>
          <w:color w:val="464646"/>
          <w:sz w:val="20"/>
          <w:szCs w:val="20"/>
          <w:shd w:val="clear" w:color="auto" w:fill="FFFFFF"/>
        </w:rPr>
        <w:t xml:space="preserve">Τροποποίηση και συμπλήρωση της υπ’ </w:t>
      </w:r>
      <w:proofErr w:type="spellStart"/>
      <w:r w:rsidR="00617F50" w:rsidRPr="00617F50">
        <w:rPr>
          <w:rFonts w:ascii="Trebuchet MS" w:hAnsi="Trebuchet MS"/>
          <w:color w:val="464646"/>
          <w:sz w:val="20"/>
          <w:szCs w:val="20"/>
          <w:shd w:val="clear" w:color="auto" w:fill="FFFFFF"/>
        </w:rPr>
        <w:t>αριθμ</w:t>
      </w:r>
      <w:proofErr w:type="spellEnd"/>
      <w:r w:rsidR="00617F50" w:rsidRPr="00617F50">
        <w:rPr>
          <w:rFonts w:ascii="Trebuchet MS" w:hAnsi="Trebuchet MS"/>
          <w:color w:val="464646"/>
          <w:sz w:val="20"/>
          <w:szCs w:val="20"/>
          <w:shd w:val="clear" w:color="auto" w:fill="FFFFFF"/>
        </w:rPr>
        <w:t>. 139491/2006 κοινής υπουργικής απόφασης (ΦΕΚ 1747/τ.Β΄), «Καθορισμός προϋποθέσεων, κριτηρίων και διαδικασιών πρόσβασης στο σύστημα νοσηλευτικής και ιατροφαρμακευτικής περίθαλψης ανασφάλιστων και οικονομικά αδυνάτων πολιτών».</w:t>
      </w:r>
    </w:p>
    <w:p w:rsidR="00617F50" w:rsidRDefault="0092497D" w:rsidP="00617F50">
      <w:pPr>
        <w:pStyle w:val="a3"/>
        <w:numPr>
          <w:ilvl w:val="0"/>
          <w:numId w:val="2"/>
        </w:numPr>
      </w:pPr>
      <w:hyperlink r:id="rId6" w:history="1">
        <w:r w:rsidR="00617F50" w:rsidRPr="00617F50">
          <w:rPr>
            <w:rStyle w:val="-"/>
            <w:rFonts w:ascii="Trebuchet MS" w:hAnsi="Trebuchet MS"/>
            <w:color w:val="006699"/>
            <w:sz w:val="20"/>
            <w:szCs w:val="20"/>
            <w:shd w:val="clear" w:color="auto" w:fill="FFFFFF"/>
          </w:rPr>
          <w:t xml:space="preserve">Ν. 4141/2013, άρθρο 40, Ειδικό επίδομα </w:t>
        </w:r>
        <w:proofErr w:type="spellStart"/>
        <w:r w:rsidR="00617F50" w:rsidRPr="00617F50">
          <w:rPr>
            <w:rStyle w:val="-"/>
            <w:rFonts w:ascii="Trebuchet MS" w:hAnsi="Trebuchet MS"/>
            <w:color w:val="006699"/>
            <w:sz w:val="20"/>
            <w:szCs w:val="20"/>
            <w:shd w:val="clear" w:color="auto" w:fill="FFFFFF"/>
          </w:rPr>
          <w:t>τρίτεκνων</w:t>
        </w:r>
        <w:proofErr w:type="spellEnd"/>
        <w:r w:rsidR="00617F50" w:rsidRPr="00617F50">
          <w:rPr>
            <w:rStyle w:val="-"/>
            <w:rFonts w:ascii="Trebuchet MS" w:hAnsi="Trebuchet MS"/>
            <w:color w:val="006699"/>
            <w:sz w:val="20"/>
            <w:szCs w:val="20"/>
            <w:shd w:val="clear" w:color="auto" w:fill="FFFFFF"/>
          </w:rPr>
          <w:t xml:space="preserve"> και πολύτεκνων</w:t>
        </w:r>
      </w:hyperlink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7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 xml:space="preserve">Δικαιολογητικά για τη χορήγηση του </w:t>
        </w:r>
        <w:proofErr w:type="spellStart"/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πολυτεκνικού</w:t>
        </w:r>
        <w:proofErr w:type="spellEnd"/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 xml:space="preserve"> επιδόματος(Υπουργική Απόφαση 2013)</w:t>
        </w:r>
      </w:hyperlink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8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Εγκύκλιος Υπουργείου Υγείας (29-6-2011)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Επέκταση </w:t>
      </w:r>
      <w:proofErr w:type="spellStart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προνοιακών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 προγραμμάτων οικονομικής ενίσχυσης </w:t>
      </w:r>
      <w:proofErr w:type="spellStart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ΑμεΑ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 σε δικαιούχους επικουρικής προστασίας και σε τελούντες σε καθεστώς παραμονής για ανθρωπιστικούς λόγους.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9" w:history="1">
        <w:r w:rsidR="00617F50" w:rsidRPr="00617F50">
          <w:rPr>
            <w:rFonts w:ascii="Trebuchet MS" w:eastAsia="Times New Roman" w:hAnsi="Trebuchet MS" w:cs="Times New Roman"/>
            <w:color w:val="33CCFF"/>
            <w:sz w:val="20"/>
            <w:szCs w:val="20"/>
            <w:u w:val="single"/>
            <w:lang w:eastAsia="el-GR"/>
          </w:rPr>
          <w:t>Εγκύκλιος Υπουργείου Υγείας (2-5-2012)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Πρόσβαση στο σύστημα ιατροφαρμακευτικής και νοσοκομειακής περίθαλψης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0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Εγκύκλιος Υπουργείου Υγείας (8-4-2009)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Χορήγηση επιδόματος αναπηρίας σε αλλοδαπούς αιτούντες άσυλο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1" w:history="1">
        <w:r w:rsidR="00617F50" w:rsidRPr="00617F50">
          <w:rPr>
            <w:rFonts w:ascii="Trebuchet MS" w:eastAsia="Times New Roman" w:hAnsi="Trebuchet MS" w:cs="Times New Roman"/>
            <w:color w:val="33CCFF"/>
            <w:sz w:val="20"/>
            <w:szCs w:val="20"/>
            <w:u w:val="single"/>
            <w:lang w:eastAsia="el-GR"/>
          </w:rPr>
          <w:t xml:space="preserve">Υπουργική Απόφαση με </w:t>
        </w:r>
        <w:proofErr w:type="spellStart"/>
        <w:r w:rsidR="00617F50" w:rsidRPr="00617F50">
          <w:rPr>
            <w:rFonts w:ascii="Trebuchet MS" w:eastAsia="Times New Roman" w:hAnsi="Trebuchet MS" w:cs="Times New Roman"/>
            <w:color w:val="33CCFF"/>
            <w:sz w:val="20"/>
            <w:szCs w:val="20"/>
            <w:u w:val="single"/>
            <w:lang w:eastAsia="el-GR"/>
          </w:rPr>
          <w:t>αριθμ</w:t>
        </w:r>
        <w:proofErr w:type="spellEnd"/>
        <w:r w:rsidR="00617F50" w:rsidRPr="00617F50">
          <w:rPr>
            <w:rFonts w:ascii="Trebuchet MS" w:eastAsia="Times New Roman" w:hAnsi="Trebuchet MS" w:cs="Times New Roman"/>
            <w:color w:val="33CCFF"/>
            <w:sz w:val="20"/>
            <w:szCs w:val="20"/>
            <w:u w:val="single"/>
            <w:lang w:eastAsia="el-GR"/>
          </w:rPr>
          <w:t>. 139491 (ΦΕΚ Τ. Β’ 1747/30.11.2006)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Καθορισμός προϋποθέσεων, κριτηρίων και διαδικασιών πρόσβασης στο σύστημα νοσηλευτικής και ιατροφαρμακευτικής περίθαλψης ανασφαλίστων και οικονομικά αδυνάτων πολιτών.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2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 xml:space="preserve">Υπουργική απόφαση Π1α/Γ.Π. οικ. 60227/2006, ΦΕΚ 645, </w:t>
        </w:r>
        <w:proofErr w:type="spellStart"/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Τ.Β'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Καθορισμός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 των δικαιολογητικών και των λεπτομερειών της διαδικασίας χορήγησης της εφάπαξ παροχής για την απόκτηση τρίτου (και επόμενων) παιδιού σε πρόσφυγες, κατόχους ανθρωπιστικού καθεστώτος και </w:t>
      </w:r>
      <w:proofErr w:type="spellStart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ανιθαγενείς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, που προβλέπεται από τις διατάξεις των άρθρων 1 και 4 του Ν 3454/2006 "Ενίσχυση της οικογένειας και λοιπές διατάξεις"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3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Υγειονομική περίθαλψη αλλοδαπών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(Εγκύκλιος Υπουργείου Υγείας και Κοινωνικής Αλληλεγγύης Υπ. </w:t>
      </w:r>
      <w:proofErr w:type="spellStart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Αριθμ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. ΟΙΚ/ΕΜΠ518, 02/02/2005)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4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 xml:space="preserve">Παροχή </w:t>
        </w:r>
        <w:proofErr w:type="spellStart"/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προνοιακών</w:t>
        </w:r>
        <w:proofErr w:type="spellEnd"/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 xml:space="preserve"> οικονομικών ενισχύσεων σε πολιτικούς πρόσφυγες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(Εγκύκλιος Υπ. Υγείας και Πρόνοιας υπ' </w:t>
      </w:r>
      <w:proofErr w:type="spellStart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αριθμ</w:t>
      </w:r>
      <w:proofErr w:type="spellEnd"/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 xml:space="preserve"> Π3α/Φ32/2671, 14/07/2000)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5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Π.Δ. 266/1999</w:t>
        </w:r>
      </w:hyperlink>
      <w:r w:rsidR="00617F50" w:rsidRPr="00617F50"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  <w:t>Διοικητική υπαγωγή και λειτουργία του υφισταμένου στο Λαύριο Αττικής Κέντρου Προσφύγων και κοινωνική προστασία των αναγνωρισμένων προσφύγων, των αιτούντων άσυλο και των παραμενόντων για ανθρωπιστικούς λόγους</w:t>
      </w:r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6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Ν. 1296/1982 για την Ασφάλιση Ανασφάλιστων Ομάδων</w:t>
        </w:r>
      </w:hyperlink>
    </w:p>
    <w:p w:rsidR="00617F50" w:rsidRPr="00617F50" w:rsidRDefault="0092497D" w:rsidP="00617F50">
      <w:pPr>
        <w:pStyle w:val="a3"/>
        <w:numPr>
          <w:ilvl w:val="0"/>
          <w:numId w:val="2"/>
        </w:numPr>
        <w:shd w:val="clear" w:color="auto" w:fill="FFFFFF"/>
        <w:spacing w:after="150" w:line="270" w:lineRule="atLeast"/>
        <w:rPr>
          <w:rFonts w:ascii="Trebuchet MS" w:eastAsia="Times New Roman" w:hAnsi="Trebuchet MS" w:cs="Times New Roman"/>
          <w:color w:val="464646"/>
          <w:sz w:val="20"/>
          <w:szCs w:val="20"/>
          <w:lang w:eastAsia="el-GR"/>
        </w:rPr>
      </w:pPr>
      <w:hyperlink r:id="rId17" w:history="1">
        <w:r w:rsidR="00617F50" w:rsidRPr="00617F50">
          <w:rPr>
            <w:rFonts w:ascii="Trebuchet MS" w:eastAsia="Times New Roman" w:hAnsi="Trebuchet MS" w:cs="Times New Roman"/>
            <w:color w:val="006699"/>
            <w:sz w:val="20"/>
            <w:szCs w:val="20"/>
            <w:u w:val="single"/>
            <w:lang w:eastAsia="el-GR"/>
          </w:rPr>
          <w:t>Εγκύκλιος Υπουργείου Υγείας και Κοινωνικής Αλληλεγγύης - Περίθαλψη στα θύματα ναρκών</w:t>
        </w:r>
      </w:hyperlink>
    </w:p>
    <w:p w:rsidR="00617F50" w:rsidRPr="00617F50" w:rsidRDefault="00617F50" w:rsidP="00617F50">
      <w:pPr>
        <w:pStyle w:val="a3"/>
      </w:pPr>
      <w:bookmarkStart w:id="0" w:name="_GoBack"/>
      <w:bookmarkEnd w:id="0"/>
    </w:p>
    <w:sectPr w:rsidR="00617F50" w:rsidRPr="00617F50" w:rsidSect="00924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579"/>
    <w:multiLevelType w:val="hybridMultilevel"/>
    <w:tmpl w:val="88CC96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96FF6"/>
    <w:multiLevelType w:val="hybridMultilevel"/>
    <w:tmpl w:val="16DA0E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7F50"/>
    <w:rsid w:val="00576FD2"/>
    <w:rsid w:val="00617F50"/>
    <w:rsid w:val="0092497D"/>
    <w:rsid w:val="00B1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17F5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1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6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gr/no_cache/prostasia/nomiki-prostasia/o-nomos-stin-ellada/nomothesia-gia-atomika-kai-koinonika-dikaiomata.html?cid=830&amp;did=1327&amp;sechash=47317823" TargetMode="External"/><Relationship Id="rId13" Type="http://schemas.openxmlformats.org/officeDocument/2006/relationships/hyperlink" Target="https://www.unhcr.gr/no_cache/prostasia/nomiki-prostasia/o-nomos-stin-ellada/nomothesia-gia-atomika-kai-koinonika-dikaiomata.html?cid=830&amp;did=640&amp;sechash=d542cf7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hcr.gr/no_cache/prostasia/nomiki-prostasia/o-nomos-stin-ellada/nomothesia-gia-atomika-kai-koinonika-dikaiomata.html?cid=830&amp;did=1929&amp;sechash=7ac21821" TargetMode="External"/><Relationship Id="rId12" Type="http://schemas.openxmlformats.org/officeDocument/2006/relationships/hyperlink" Target="https://www.unhcr.gr/no_cache/prostasia/nomiki-prostasia/o-nomos-stin-ellada/nomothesia-gia-atomika-kai-koinonika-dikaiomata.html?cid=830&amp;did=638&amp;sechash=c6c376b0" TargetMode="External"/><Relationship Id="rId17" Type="http://schemas.openxmlformats.org/officeDocument/2006/relationships/hyperlink" Target="https://www.unhcr.gr/no_cache/prostasia/nomiki-prostasia/o-nomos-stin-ellada/nomothesia-gia-atomika-kai-koinonika-dikaiomata.html?cid=830&amp;did=642&amp;sechash=6e44e4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hcr.gr/no_cache/prostasia/nomiki-prostasia/o-nomos-stin-ellada/nomothesia-gia-atomika-kai-koinonika-dikaiomata.html?cid=830&amp;did=644&amp;sechash=7af84a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hcr.gr/no_cache/prostasia/nomiki-prostasia/o-nomos-stin-ellada/nomothesia-gia-atomika-kai-koinonika-dikaiomata.html?cid=830&amp;did=1930&amp;sechash=92207c39" TargetMode="External"/><Relationship Id="rId11" Type="http://schemas.openxmlformats.org/officeDocument/2006/relationships/hyperlink" Target="https://www.unhcr.gr/no_cache/prostasia/nomiki-prostasia/o-nomos-stin-ellada/nomothesia-gia-atomika-kai-koinonika-dikaiomata.html?cid=830&amp;did=2368&amp;sechash=f0245932" TargetMode="External"/><Relationship Id="rId5" Type="http://schemas.openxmlformats.org/officeDocument/2006/relationships/hyperlink" Target="https://www.unhcr.gr/no_cache/prostasia/nomiki-prostasia/o-nomos-stin-ellada/nomothesia-gia-atomika-kai-koinonika-dikaiomata.html?cid=830&amp;did=2369&amp;sechash=487abfea" TargetMode="External"/><Relationship Id="rId15" Type="http://schemas.openxmlformats.org/officeDocument/2006/relationships/hyperlink" Target="https://www.unhcr.gr/no_cache/prostasia/nomiki-prostasia/o-nomos-stin-ellada/nomothesia-gia-atomika-kai-koinonika-dikaiomata.html?cid=830&amp;did=870&amp;sechash=a6f9fdf9" TargetMode="External"/><Relationship Id="rId10" Type="http://schemas.openxmlformats.org/officeDocument/2006/relationships/hyperlink" Target="https://www.unhcr.gr/no_cache/prostasia/nomiki-prostasia/o-nomos-stin-ellada/nomothesia-gia-atomika-kai-koinonika-dikaiomata.html?cid=830&amp;did=866&amp;sechash=46e02ee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hcr.gr/no_cache/prostasia/nomiki-prostasia/o-nomos-stin-ellada/nomothesia-gia-atomika-kai-koinonika-dikaiomata.html?cid=830&amp;did=1329&amp;sechash=376f7543" TargetMode="External"/><Relationship Id="rId14" Type="http://schemas.openxmlformats.org/officeDocument/2006/relationships/hyperlink" Target="https://www.unhcr.gr/no_cache/prostasia/nomiki-prostasia/o-nomos-stin-ellada/nomothesia-gia-atomika-kai-koinonika-dikaiomata.html?cid=830&amp;did=637&amp;sechash=f8f3292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GCR-Voutirakis</dc:creator>
  <cp:lastModifiedBy>user</cp:lastModifiedBy>
  <cp:revision>2</cp:revision>
  <dcterms:created xsi:type="dcterms:W3CDTF">2017-09-09T13:46:00Z</dcterms:created>
  <dcterms:modified xsi:type="dcterms:W3CDTF">2017-09-09T13:46:00Z</dcterms:modified>
</cp:coreProperties>
</file>